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44F" w:rsidRPr="00C31CA5" w:rsidRDefault="0094744F" w:rsidP="00C31CA5">
      <w:pPr>
        <w:spacing w:after="0" w:line="340" w:lineRule="exact"/>
        <w:ind w:left="0" w:right="54" w:firstLine="0"/>
        <w:jc w:val="right"/>
        <w:rPr>
          <w:sz w:val="22"/>
        </w:rPr>
      </w:pPr>
      <w:bookmarkStart w:id="0" w:name="_GoBack"/>
      <w:bookmarkEnd w:id="0"/>
      <w:r w:rsidRPr="00C31CA5">
        <w:rPr>
          <w:b/>
        </w:rPr>
        <w:t xml:space="preserve">Appendix V </w:t>
      </w:r>
    </w:p>
    <w:p w:rsidR="0094744F" w:rsidRPr="00C31CA5" w:rsidRDefault="0094744F" w:rsidP="00C31CA5">
      <w:pPr>
        <w:spacing w:after="0" w:line="340" w:lineRule="exact"/>
        <w:ind w:left="0" w:right="55" w:firstLine="0"/>
        <w:jc w:val="center"/>
        <w:rPr>
          <w:b/>
        </w:rPr>
      </w:pPr>
      <w:r w:rsidRPr="00C31CA5">
        <w:rPr>
          <w:b/>
          <w:u w:val="single" w:color="000000"/>
        </w:rPr>
        <w:t>Criteria for competent sampler</w:t>
      </w:r>
      <w:r w:rsidRPr="00C31CA5">
        <w:rPr>
          <w:b/>
        </w:rPr>
        <w:t xml:space="preserve"> </w:t>
      </w:r>
    </w:p>
    <w:p w:rsidR="004260DC" w:rsidRPr="000A5791" w:rsidRDefault="004260DC" w:rsidP="00C31CA5">
      <w:pPr>
        <w:spacing w:after="0" w:line="340" w:lineRule="exact"/>
        <w:ind w:left="0" w:right="55" w:firstLine="0"/>
        <w:jc w:val="center"/>
        <w:rPr>
          <w:sz w:val="23"/>
          <w:szCs w:val="23"/>
        </w:rPr>
      </w:pPr>
    </w:p>
    <w:p w:rsidR="0094744F" w:rsidRPr="000A5791" w:rsidRDefault="0094744F" w:rsidP="00C31CA5">
      <w:pPr>
        <w:spacing w:after="0" w:line="340" w:lineRule="exact"/>
        <w:ind w:left="-15" w:firstLine="0"/>
        <w:rPr>
          <w:sz w:val="23"/>
          <w:szCs w:val="23"/>
        </w:rPr>
      </w:pPr>
      <w:r w:rsidRPr="000A5791">
        <w:rPr>
          <w:sz w:val="23"/>
          <w:szCs w:val="23"/>
        </w:rPr>
        <w:t xml:space="preserve">Drainage Services Department (DSD) will accept a person to carry out sampling in connection with application for COD reassessment only when he/she: </w:t>
      </w:r>
    </w:p>
    <w:p w:rsidR="004260DC" w:rsidRPr="000A5791" w:rsidRDefault="004260DC" w:rsidP="00C31CA5">
      <w:pPr>
        <w:spacing w:after="0" w:line="340" w:lineRule="exact"/>
        <w:ind w:left="-15" w:firstLine="0"/>
        <w:rPr>
          <w:sz w:val="23"/>
          <w:szCs w:val="23"/>
        </w:rPr>
      </w:pPr>
    </w:p>
    <w:p w:rsidR="0077465D" w:rsidRPr="000A5791" w:rsidRDefault="005D37BB" w:rsidP="00C31CA5">
      <w:pPr>
        <w:spacing w:after="0" w:line="340" w:lineRule="exact"/>
        <w:ind w:left="480" w:hanging="480"/>
        <w:rPr>
          <w:sz w:val="23"/>
          <w:szCs w:val="23"/>
        </w:rPr>
      </w:pPr>
      <w:r w:rsidRPr="000A5791">
        <w:rPr>
          <w:sz w:val="23"/>
          <w:szCs w:val="23"/>
        </w:rPr>
        <w:t>1.</w:t>
      </w:r>
      <w:r w:rsidRPr="000A5791">
        <w:rPr>
          <w:sz w:val="23"/>
          <w:szCs w:val="23"/>
        </w:rPr>
        <w:tab/>
      </w:r>
      <w:r w:rsidR="0094744F" w:rsidRPr="000A5791">
        <w:rPr>
          <w:sz w:val="23"/>
          <w:szCs w:val="23"/>
        </w:rPr>
        <w:t xml:space="preserve">has been under employment of an accredited laboratory for at least one month and satisfactorily completed the required training provided by approved trainer(s) of the same accredited laboratory, which should include at least six relevant sampling exercises spreading over a period of not shorter than one month; </w:t>
      </w:r>
    </w:p>
    <w:p w:rsidR="00396216" w:rsidRPr="000A5791" w:rsidRDefault="00396216" w:rsidP="00C31CA5">
      <w:pPr>
        <w:spacing w:after="0" w:line="340" w:lineRule="exact"/>
        <w:ind w:left="480" w:hanging="480"/>
        <w:rPr>
          <w:rFonts w:eastAsiaTheme="minorEastAsia"/>
          <w:sz w:val="23"/>
          <w:szCs w:val="23"/>
        </w:rPr>
      </w:pPr>
    </w:p>
    <w:p w:rsidR="0077465D" w:rsidRPr="000A5791" w:rsidRDefault="005D37BB" w:rsidP="00C31CA5">
      <w:pPr>
        <w:spacing w:after="0" w:line="340" w:lineRule="exact"/>
        <w:ind w:left="480" w:hanging="480"/>
        <w:rPr>
          <w:sz w:val="23"/>
          <w:szCs w:val="23"/>
        </w:rPr>
      </w:pPr>
      <w:r w:rsidRPr="000A5791">
        <w:rPr>
          <w:rFonts w:eastAsiaTheme="minorEastAsia" w:hint="eastAsia"/>
          <w:sz w:val="23"/>
          <w:szCs w:val="23"/>
          <w:lang w:eastAsia="zh-HK"/>
        </w:rPr>
        <w:t>2.</w:t>
      </w:r>
      <w:r w:rsidRPr="000A5791">
        <w:rPr>
          <w:rFonts w:eastAsiaTheme="minorEastAsia" w:hint="eastAsia"/>
          <w:sz w:val="23"/>
          <w:szCs w:val="23"/>
          <w:lang w:eastAsia="zh-HK"/>
        </w:rPr>
        <w:tab/>
      </w:r>
      <w:r w:rsidR="0094744F" w:rsidRPr="000A5791">
        <w:rPr>
          <w:sz w:val="23"/>
          <w:szCs w:val="23"/>
        </w:rPr>
        <w:t xml:space="preserve">has either attained </w:t>
      </w:r>
      <w:r w:rsidR="00E210AD" w:rsidRPr="000A5791">
        <w:rPr>
          <w:sz w:val="23"/>
          <w:szCs w:val="23"/>
        </w:rPr>
        <w:t>Leve</w:t>
      </w:r>
      <w:r w:rsidR="00E210AD" w:rsidRPr="000A5791">
        <w:rPr>
          <w:color w:val="000000" w:themeColor="text1"/>
          <w:sz w:val="23"/>
          <w:szCs w:val="23"/>
        </w:rPr>
        <w:t>l 2 or equivalent (Note</w:t>
      </w:r>
      <w:r w:rsidR="00E210AD" w:rsidRPr="000A5791">
        <w:rPr>
          <w:sz w:val="23"/>
          <w:szCs w:val="23"/>
        </w:rPr>
        <w:t xml:space="preserve"> iii) or above in five subjects in the Hong Kong Diploma of Secondary Education Examination (HKDSEE), or equivalent; or Level 2 (Note </w:t>
      </w:r>
      <w:r w:rsidR="001C04F5">
        <w:rPr>
          <w:sz w:val="23"/>
          <w:szCs w:val="23"/>
        </w:rPr>
        <w:t>iv</w:t>
      </w:r>
      <w:r w:rsidR="00E210AD" w:rsidRPr="000A5791">
        <w:rPr>
          <w:sz w:val="23"/>
          <w:szCs w:val="23"/>
        </w:rPr>
        <w:t xml:space="preserve">) / Grade E or above in five subjects in the Hong Kong Certificate of Education Examination (HKCEE), </w:t>
      </w:r>
      <w:r w:rsidR="0094744F" w:rsidRPr="000A5791">
        <w:rPr>
          <w:sz w:val="23"/>
          <w:szCs w:val="23"/>
        </w:rPr>
        <w:t xml:space="preserve">or equivalent; or has at least 2 years of relevant experience in taking trade effluent samples in connection with application for COD reassessment; </w:t>
      </w:r>
    </w:p>
    <w:p w:rsidR="00845EF8" w:rsidRPr="000A5791" w:rsidRDefault="00845EF8" w:rsidP="00C31CA5">
      <w:pPr>
        <w:spacing w:after="0" w:line="340" w:lineRule="exact"/>
        <w:ind w:left="480" w:hanging="480"/>
        <w:rPr>
          <w:rFonts w:eastAsiaTheme="minorEastAsia"/>
          <w:sz w:val="23"/>
          <w:szCs w:val="23"/>
          <w:lang w:eastAsia="zh-HK"/>
        </w:rPr>
      </w:pPr>
    </w:p>
    <w:p w:rsidR="0077465D" w:rsidRPr="000A5791" w:rsidRDefault="00396216" w:rsidP="00C31CA5">
      <w:pPr>
        <w:spacing w:after="0" w:line="340" w:lineRule="exact"/>
        <w:ind w:left="480" w:hanging="480"/>
        <w:rPr>
          <w:sz w:val="23"/>
          <w:szCs w:val="23"/>
        </w:rPr>
      </w:pPr>
      <w:r w:rsidRPr="000A5791">
        <w:rPr>
          <w:rFonts w:eastAsiaTheme="minorEastAsia"/>
          <w:sz w:val="23"/>
          <w:szCs w:val="23"/>
          <w:lang w:eastAsia="zh-HK"/>
        </w:rPr>
        <w:t>3.</w:t>
      </w:r>
      <w:r w:rsidRPr="000A5791">
        <w:rPr>
          <w:rFonts w:eastAsiaTheme="minorEastAsia"/>
          <w:sz w:val="23"/>
          <w:szCs w:val="23"/>
          <w:lang w:eastAsia="zh-HK"/>
        </w:rPr>
        <w:tab/>
      </w:r>
      <w:r w:rsidR="0094744F" w:rsidRPr="000A5791">
        <w:rPr>
          <w:sz w:val="23"/>
          <w:szCs w:val="23"/>
        </w:rPr>
        <w:t>is included in the competent samplers list submitted by the ac</w:t>
      </w:r>
      <w:r w:rsidR="00845EF8" w:rsidRPr="000A5791">
        <w:rPr>
          <w:sz w:val="23"/>
          <w:szCs w:val="23"/>
        </w:rPr>
        <w:t>credited laboratory to DSD; and</w:t>
      </w:r>
    </w:p>
    <w:p w:rsidR="00845EF8" w:rsidRPr="000A5791" w:rsidRDefault="00845EF8" w:rsidP="00C31CA5">
      <w:pPr>
        <w:spacing w:after="0" w:line="340" w:lineRule="exact"/>
        <w:ind w:left="480" w:hanging="480"/>
        <w:rPr>
          <w:sz w:val="23"/>
          <w:szCs w:val="23"/>
        </w:rPr>
      </w:pPr>
    </w:p>
    <w:p w:rsidR="0094744F" w:rsidRPr="000A5791" w:rsidRDefault="00845EF8" w:rsidP="00C31CA5">
      <w:pPr>
        <w:spacing w:after="0" w:line="340" w:lineRule="exact"/>
        <w:ind w:left="480" w:hanging="480"/>
        <w:rPr>
          <w:rFonts w:eastAsiaTheme="minorEastAsia"/>
          <w:sz w:val="23"/>
          <w:szCs w:val="23"/>
          <w:lang w:eastAsia="zh-HK"/>
        </w:rPr>
      </w:pPr>
      <w:r w:rsidRPr="000A5791">
        <w:rPr>
          <w:sz w:val="23"/>
          <w:szCs w:val="23"/>
        </w:rPr>
        <w:t>4.</w:t>
      </w:r>
      <w:r w:rsidRPr="000A5791">
        <w:rPr>
          <w:sz w:val="23"/>
          <w:szCs w:val="23"/>
        </w:rPr>
        <w:tab/>
      </w:r>
      <w:r w:rsidR="0094744F" w:rsidRPr="000A5791">
        <w:rPr>
          <w:sz w:val="23"/>
          <w:szCs w:val="23"/>
        </w:rPr>
        <w:t xml:space="preserve">is not engaged in other work or employment with the applicant or any wastewater treatment contractors, which could create or potentially give rise to a conflict or potential conflict between their personal/financial interests and their duties in connection with this application. </w:t>
      </w:r>
    </w:p>
    <w:p w:rsidR="004260DC" w:rsidRPr="000A5791" w:rsidRDefault="004260DC" w:rsidP="00C31CA5">
      <w:pPr>
        <w:spacing w:after="0" w:line="340" w:lineRule="exact"/>
        <w:ind w:left="0" w:firstLine="0"/>
        <w:rPr>
          <w:rFonts w:eastAsiaTheme="minorEastAsia"/>
          <w:sz w:val="23"/>
          <w:szCs w:val="23"/>
        </w:rPr>
      </w:pPr>
    </w:p>
    <w:p w:rsidR="0094744F" w:rsidRPr="000A5791" w:rsidRDefault="0094744F" w:rsidP="00C31CA5">
      <w:pPr>
        <w:spacing w:after="0" w:line="340" w:lineRule="exact"/>
        <w:ind w:left="0" w:firstLine="0"/>
        <w:rPr>
          <w:sz w:val="23"/>
          <w:szCs w:val="23"/>
        </w:rPr>
      </w:pPr>
      <w:r w:rsidRPr="000A5791">
        <w:rPr>
          <w:sz w:val="23"/>
          <w:szCs w:val="23"/>
          <w:u w:val="single" w:color="000000"/>
        </w:rPr>
        <w:t>Notes</w:t>
      </w:r>
    </w:p>
    <w:p w:rsidR="00A96AD4" w:rsidRPr="000A5791" w:rsidRDefault="00A96AD4" w:rsidP="00C31CA5">
      <w:pPr>
        <w:spacing w:after="0" w:line="340" w:lineRule="exact"/>
        <w:ind w:left="0" w:firstLine="0"/>
        <w:rPr>
          <w:sz w:val="23"/>
          <w:szCs w:val="23"/>
        </w:rPr>
      </w:pPr>
    </w:p>
    <w:p w:rsidR="0094744F" w:rsidRPr="000A5791" w:rsidRDefault="00A96AD4" w:rsidP="00A34C7D">
      <w:pPr>
        <w:spacing w:after="0" w:line="340" w:lineRule="exact"/>
        <w:ind w:left="480" w:hanging="480"/>
        <w:rPr>
          <w:sz w:val="23"/>
          <w:szCs w:val="23"/>
        </w:rPr>
      </w:pPr>
      <w:r w:rsidRPr="000A5791">
        <w:rPr>
          <w:sz w:val="23"/>
          <w:szCs w:val="23"/>
        </w:rPr>
        <w:t>(i)</w:t>
      </w:r>
      <w:r w:rsidRPr="000A5791">
        <w:rPr>
          <w:sz w:val="23"/>
          <w:szCs w:val="23"/>
        </w:rPr>
        <w:tab/>
      </w:r>
      <w:r w:rsidR="0094744F" w:rsidRPr="000A5791">
        <w:rPr>
          <w:sz w:val="23"/>
          <w:szCs w:val="23"/>
        </w:rPr>
        <w:t>DSD will instruct the accredited laboratory to delete from the competent samplers list any sampler who commits an act that casts doubt on the integrity of representative sampling in connection with COD reassessment application. DSD will also instruct the accredited laboratory to delete any sampler that repeatedly commits acts of incompetence during sampling in connection with C</w:t>
      </w:r>
      <w:r w:rsidR="00C62A23" w:rsidRPr="000A5791">
        <w:rPr>
          <w:sz w:val="23"/>
          <w:szCs w:val="23"/>
        </w:rPr>
        <w:t>OD reassessment application.</w:t>
      </w:r>
    </w:p>
    <w:p w:rsidR="00C62A23" w:rsidRPr="000A5791" w:rsidRDefault="00C62A23" w:rsidP="00C31CA5">
      <w:pPr>
        <w:spacing w:after="0" w:line="340" w:lineRule="exact"/>
        <w:ind w:left="425" w:hanging="425"/>
        <w:rPr>
          <w:sz w:val="23"/>
          <w:szCs w:val="23"/>
        </w:rPr>
      </w:pPr>
    </w:p>
    <w:p w:rsidR="00B21C87" w:rsidRPr="000A5791" w:rsidRDefault="00C62A23" w:rsidP="00A34C7D">
      <w:pPr>
        <w:spacing w:after="0" w:line="340" w:lineRule="exact"/>
        <w:ind w:left="480" w:hanging="480"/>
        <w:rPr>
          <w:sz w:val="23"/>
          <w:szCs w:val="23"/>
        </w:rPr>
      </w:pPr>
      <w:r w:rsidRPr="000A5791">
        <w:rPr>
          <w:sz w:val="23"/>
          <w:szCs w:val="23"/>
        </w:rPr>
        <w:t>(ii)</w:t>
      </w:r>
      <w:r w:rsidRPr="000A5791">
        <w:rPr>
          <w:sz w:val="23"/>
          <w:szCs w:val="23"/>
        </w:rPr>
        <w:tab/>
        <w:t>C</w:t>
      </w:r>
      <w:r w:rsidR="0094744F" w:rsidRPr="000A5791">
        <w:rPr>
          <w:sz w:val="23"/>
          <w:szCs w:val="23"/>
        </w:rPr>
        <w:t xml:space="preserve">ompetent samplers that have not worked in </w:t>
      </w:r>
      <w:r w:rsidR="0034395A">
        <w:rPr>
          <w:sz w:val="23"/>
          <w:szCs w:val="23"/>
        </w:rPr>
        <w:t xml:space="preserve">connection with </w:t>
      </w:r>
      <w:r w:rsidR="0094744F" w:rsidRPr="000A5791">
        <w:rPr>
          <w:sz w:val="23"/>
          <w:szCs w:val="23"/>
        </w:rPr>
        <w:t xml:space="preserve">the </w:t>
      </w:r>
      <w:r w:rsidR="0034395A">
        <w:rPr>
          <w:sz w:val="23"/>
          <w:szCs w:val="23"/>
        </w:rPr>
        <w:t xml:space="preserve">laboratory’s applications for </w:t>
      </w:r>
      <w:r w:rsidR="00FD3C97" w:rsidRPr="000A5791">
        <w:rPr>
          <w:sz w:val="23"/>
          <w:szCs w:val="23"/>
        </w:rPr>
        <w:t xml:space="preserve">COD reassessment </w:t>
      </w:r>
      <w:r w:rsidR="0094744F" w:rsidRPr="000A5791">
        <w:rPr>
          <w:sz w:val="23"/>
          <w:szCs w:val="23"/>
        </w:rPr>
        <w:t xml:space="preserve">for 1 year or more must be removed from the competent samplers list and will not be allowed to participate in sampling unless refresher training as stated in item 1 above </w:t>
      </w:r>
      <w:r w:rsidR="005777BB" w:rsidRPr="000A5791">
        <w:rPr>
          <w:sz w:val="23"/>
          <w:szCs w:val="23"/>
        </w:rPr>
        <w:t>is provided by the laboratory.</w:t>
      </w:r>
    </w:p>
    <w:p w:rsidR="00BE5E39" w:rsidRPr="000A5791" w:rsidRDefault="00BE5E39" w:rsidP="00C31CA5">
      <w:pPr>
        <w:spacing w:after="0" w:line="340" w:lineRule="exact"/>
        <w:ind w:left="425" w:hanging="425"/>
        <w:rPr>
          <w:sz w:val="23"/>
          <w:szCs w:val="23"/>
        </w:rPr>
      </w:pPr>
    </w:p>
    <w:p w:rsidR="00796C3E" w:rsidRPr="000A5791" w:rsidRDefault="00796C3E" w:rsidP="001473EA">
      <w:pPr>
        <w:spacing w:after="0" w:line="340" w:lineRule="exact"/>
        <w:ind w:left="480" w:hanging="480"/>
        <w:rPr>
          <w:sz w:val="23"/>
          <w:szCs w:val="23"/>
        </w:rPr>
      </w:pPr>
      <w:r w:rsidRPr="000A5791">
        <w:rPr>
          <w:sz w:val="23"/>
          <w:szCs w:val="23"/>
        </w:rPr>
        <w:t>(iii)</w:t>
      </w:r>
      <w:r w:rsidR="00A34C7D">
        <w:rPr>
          <w:sz w:val="23"/>
          <w:szCs w:val="23"/>
        </w:rPr>
        <w:tab/>
      </w:r>
      <w:r w:rsidR="00BE5E39" w:rsidRPr="000A5791">
        <w:rPr>
          <w:sz w:val="23"/>
          <w:szCs w:val="23"/>
        </w:rPr>
        <w:t>‘Attained with Distinction’</w:t>
      </w:r>
      <w:r w:rsidR="00BE5E39" w:rsidRPr="000A5791">
        <w:rPr>
          <w:rFonts w:hint="eastAsia"/>
          <w:sz w:val="23"/>
          <w:szCs w:val="23"/>
        </w:rPr>
        <w:t xml:space="preserve"> and </w:t>
      </w:r>
      <w:r w:rsidR="00BE5E39" w:rsidRPr="000A5791">
        <w:rPr>
          <w:sz w:val="23"/>
          <w:szCs w:val="23"/>
        </w:rPr>
        <w:t>‘Attained with Distinction (I)’ in Applied Learning subjects (subject to a maximum of two Applied Learning subjects), and Grade C in Other Language subjects in the HKDSEE are accepted as equivalent to Level 3 in the New Senior Secondary subjects in the HKDSEE. ‘Attained’ in Applied Learning subjects (subject to a maximum of two Applied Learning subjects), and Grade E in Other Language subjects in the HKDSEE are accepted as equivalent to Level 2 in the New Senior Secondary subjects in the HKDSEE.</w:t>
      </w:r>
    </w:p>
    <w:p w:rsidR="00262F6E" w:rsidRPr="000A5791" w:rsidRDefault="00262F6E" w:rsidP="00C31CA5">
      <w:pPr>
        <w:spacing w:after="0" w:line="340" w:lineRule="exact"/>
        <w:ind w:left="369" w:hanging="369"/>
        <w:rPr>
          <w:sz w:val="23"/>
          <w:szCs w:val="23"/>
        </w:rPr>
      </w:pPr>
    </w:p>
    <w:p w:rsidR="00262F6E" w:rsidRPr="000A5791" w:rsidRDefault="00262F6E" w:rsidP="00A34C7D">
      <w:pPr>
        <w:spacing w:after="0" w:line="340" w:lineRule="exact"/>
        <w:ind w:left="480" w:hanging="480"/>
        <w:rPr>
          <w:rFonts w:eastAsiaTheme="minorEastAsia"/>
          <w:sz w:val="23"/>
          <w:szCs w:val="23"/>
        </w:rPr>
      </w:pPr>
      <w:r w:rsidRPr="000A5791">
        <w:rPr>
          <w:sz w:val="23"/>
          <w:szCs w:val="23"/>
        </w:rPr>
        <w:t>(</w:t>
      </w:r>
      <w:r w:rsidR="001C04F5">
        <w:rPr>
          <w:sz w:val="23"/>
          <w:szCs w:val="23"/>
        </w:rPr>
        <w:t>iv</w:t>
      </w:r>
      <w:r w:rsidRPr="000A5791">
        <w:rPr>
          <w:sz w:val="23"/>
          <w:szCs w:val="23"/>
        </w:rPr>
        <w:t>)</w:t>
      </w:r>
      <w:r w:rsidR="00A34C7D">
        <w:rPr>
          <w:sz w:val="23"/>
          <w:szCs w:val="23"/>
        </w:rPr>
        <w:tab/>
      </w:r>
      <w:r w:rsidRPr="000A5791">
        <w:rPr>
          <w:sz w:val="23"/>
          <w:szCs w:val="23"/>
        </w:rPr>
        <w:t>‘Grade C’ and ‘Grade E’ in Chinese Language and English Language (Syllabus B) in the HKCEE before 2007 are accepted administratively as comparable to ‘Level 3’ and ‘Level 2’ respectively in Chinese Language and English Language in the 2007 HKCEE and henceforth.</w:t>
      </w:r>
    </w:p>
    <w:sectPr w:rsidR="00262F6E" w:rsidRPr="000A5791" w:rsidSect="00292923">
      <w:pgSz w:w="11906" w:h="16838" w:code="9"/>
      <w:pgMar w:top="680" w:right="680" w:bottom="680" w:left="680"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AD1" w:rsidRDefault="003E5AD1" w:rsidP="00FD3C97">
      <w:pPr>
        <w:spacing w:after="0" w:line="240" w:lineRule="auto"/>
      </w:pPr>
      <w:r>
        <w:separator/>
      </w:r>
    </w:p>
  </w:endnote>
  <w:endnote w:type="continuationSeparator" w:id="0">
    <w:p w:rsidR="003E5AD1" w:rsidRDefault="003E5AD1" w:rsidP="00FD3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AD1" w:rsidRDefault="003E5AD1" w:rsidP="00FD3C97">
      <w:pPr>
        <w:spacing w:after="0" w:line="240" w:lineRule="auto"/>
      </w:pPr>
      <w:r>
        <w:separator/>
      </w:r>
    </w:p>
  </w:footnote>
  <w:footnote w:type="continuationSeparator" w:id="0">
    <w:p w:rsidR="003E5AD1" w:rsidRDefault="003E5AD1" w:rsidP="00FD3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65A8C"/>
    <w:multiLevelType w:val="multilevel"/>
    <w:tmpl w:val="F04E964C"/>
    <w:lvl w:ilvl="0">
      <w:start w:val="1"/>
      <w:numFmt w:val="lowerRoman"/>
      <w:lvlText w:val="(%1)"/>
      <w:lvlJc w:val="left"/>
      <w:pPr>
        <w:ind w:left="4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4F29179C"/>
    <w:multiLevelType w:val="hybridMultilevel"/>
    <w:tmpl w:val="F04E964C"/>
    <w:lvl w:ilvl="0" w:tplc="67C680A2">
      <w:start w:val="1"/>
      <w:numFmt w:val="lowerRoman"/>
      <w:lvlText w:val="(%1)"/>
      <w:lvlJc w:val="left"/>
      <w:pPr>
        <w:ind w:left="4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C58CAF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4F2A9D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B74DCA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C1C1A0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0D0817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6523FF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1EE85A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45AC42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738F7485"/>
    <w:multiLevelType w:val="hybridMultilevel"/>
    <w:tmpl w:val="EBE8D760"/>
    <w:lvl w:ilvl="0" w:tplc="40AA088C">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8F2C0E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8BE354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A0289D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682B7D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83A09F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3642AB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28E389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6EECB1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44F"/>
    <w:rsid w:val="00094336"/>
    <w:rsid w:val="000A5791"/>
    <w:rsid w:val="0012721E"/>
    <w:rsid w:val="00130F77"/>
    <w:rsid w:val="001473EA"/>
    <w:rsid w:val="001C04F5"/>
    <w:rsid w:val="001C23EC"/>
    <w:rsid w:val="00262F6E"/>
    <w:rsid w:val="00292923"/>
    <w:rsid w:val="002A4A83"/>
    <w:rsid w:val="0034395A"/>
    <w:rsid w:val="00396216"/>
    <w:rsid w:val="003E5AD1"/>
    <w:rsid w:val="00406432"/>
    <w:rsid w:val="004260DC"/>
    <w:rsid w:val="00463043"/>
    <w:rsid w:val="005777BB"/>
    <w:rsid w:val="005D37BB"/>
    <w:rsid w:val="00613EE2"/>
    <w:rsid w:val="00623512"/>
    <w:rsid w:val="00637CB9"/>
    <w:rsid w:val="0064022B"/>
    <w:rsid w:val="00644A50"/>
    <w:rsid w:val="0077465D"/>
    <w:rsid w:val="00796C3E"/>
    <w:rsid w:val="00845EF8"/>
    <w:rsid w:val="00871CF5"/>
    <w:rsid w:val="0094744F"/>
    <w:rsid w:val="0097628F"/>
    <w:rsid w:val="009F7E68"/>
    <w:rsid w:val="00A11CE5"/>
    <w:rsid w:val="00A34C7D"/>
    <w:rsid w:val="00A9391F"/>
    <w:rsid w:val="00A96AD4"/>
    <w:rsid w:val="00AB13DD"/>
    <w:rsid w:val="00B21C87"/>
    <w:rsid w:val="00B647E2"/>
    <w:rsid w:val="00B84708"/>
    <w:rsid w:val="00BE5E39"/>
    <w:rsid w:val="00C2180B"/>
    <w:rsid w:val="00C31CA5"/>
    <w:rsid w:val="00C62A23"/>
    <w:rsid w:val="00C74721"/>
    <w:rsid w:val="00CC48E4"/>
    <w:rsid w:val="00DD3A62"/>
    <w:rsid w:val="00E17152"/>
    <w:rsid w:val="00E210AD"/>
    <w:rsid w:val="00EF1D34"/>
    <w:rsid w:val="00F04F74"/>
    <w:rsid w:val="00F106FA"/>
    <w:rsid w:val="00F11BF5"/>
    <w:rsid w:val="00FD3C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BBC9F6-58ED-4DCD-A2B2-7912B4EE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44F"/>
    <w:pPr>
      <w:spacing w:after="376" w:line="300" w:lineRule="auto"/>
      <w:ind w:left="370" w:hanging="370"/>
      <w:jc w:val="both"/>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65D"/>
    <w:pPr>
      <w:ind w:leftChars="200" w:left="480"/>
    </w:pPr>
  </w:style>
  <w:style w:type="paragraph" w:styleId="a4">
    <w:name w:val="header"/>
    <w:basedOn w:val="a"/>
    <w:link w:val="a5"/>
    <w:uiPriority w:val="99"/>
    <w:unhideWhenUsed/>
    <w:rsid w:val="00FD3C97"/>
    <w:pPr>
      <w:tabs>
        <w:tab w:val="center" w:pos="4153"/>
        <w:tab w:val="right" w:pos="8306"/>
      </w:tabs>
      <w:snapToGrid w:val="0"/>
    </w:pPr>
    <w:rPr>
      <w:sz w:val="20"/>
      <w:szCs w:val="20"/>
    </w:rPr>
  </w:style>
  <w:style w:type="character" w:customStyle="1" w:styleId="a5">
    <w:name w:val="頁首 字元"/>
    <w:basedOn w:val="a0"/>
    <w:link w:val="a4"/>
    <w:uiPriority w:val="99"/>
    <w:rsid w:val="00FD3C97"/>
    <w:rPr>
      <w:rFonts w:ascii="Times New Roman" w:eastAsia="Times New Roman" w:hAnsi="Times New Roman" w:cs="Times New Roman"/>
      <w:color w:val="000000"/>
      <w:sz w:val="20"/>
      <w:szCs w:val="20"/>
    </w:rPr>
  </w:style>
  <w:style w:type="paragraph" w:styleId="a6">
    <w:name w:val="footer"/>
    <w:basedOn w:val="a"/>
    <w:link w:val="a7"/>
    <w:uiPriority w:val="99"/>
    <w:unhideWhenUsed/>
    <w:rsid w:val="00FD3C97"/>
    <w:pPr>
      <w:tabs>
        <w:tab w:val="center" w:pos="4153"/>
        <w:tab w:val="right" w:pos="8306"/>
      </w:tabs>
      <w:snapToGrid w:val="0"/>
    </w:pPr>
    <w:rPr>
      <w:sz w:val="20"/>
      <w:szCs w:val="20"/>
    </w:rPr>
  </w:style>
  <w:style w:type="character" w:customStyle="1" w:styleId="a7">
    <w:name w:val="頁尾 字元"/>
    <w:basedOn w:val="a0"/>
    <w:link w:val="a6"/>
    <w:uiPriority w:val="99"/>
    <w:rsid w:val="00FD3C97"/>
    <w:rPr>
      <w:rFonts w:ascii="Times New Roman" w:eastAsia="Times New Roman" w:hAnsi="Times New Roman" w:cs="Times New Roman"/>
      <w:color w:val="000000"/>
      <w:sz w:val="20"/>
      <w:szCs w:val="20"/>
    </w:rPr>
  </w:style>
  <w:style w:type="paragraph" w:styleId="a8">
    <w:name w:val="Balloon Text"/>
    <w:basedOn w:val="a"/>
    <w:link w:val="a9"/>
    <w:uiPriority w:val="99"/>
    <w:semiHidden/>
    <w:unhideWhenUsed/>
    <w:rsid w:val="005777BB"/>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777B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1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08D29-F84B-4122-82EE-413AD8CF7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2449</Characters>
  <Application>Microsoft Office Word</Application>
  <DocSecurity>0</DocSecurity>
  <Lines>20</Lines>
  <Paragraphs>5</Paragraphs>
  <ScaleCrop>false</ScaleCrop>
  <Company>Drainage Services Department</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wsso</dc:creator>
  <cp:keywords/>
  <dc:description/>
  <cp:lastModifiedBy>WONG Yun Cheong Thomas</cp:lastModifiedBy>
  <cp:revision>4</cp:revision>
  <dcterms:created xsi:type="dcterms:W3CDTF">2018-11-02T02:06:00Z</dcterms:created>
  <dcterms:modified xsi:type="dcterms:W3CDTF">2018-11-02T06:45:00Z</dcterms:modified>
</cp:coreProperties>
</file>